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d76e5041c04e20bffb1ed74554b0c5ba7a50c"/>
    <w:p>
      <w:pPr>
        <w:pStyle w:val="Heading3"/>
      </w:pPr>
      <w:r>
        <w:t xml:space="preserve">План – график проведения вакцинации против бешенства собак и кошек на прививочных пунктах в Троицком и Новомосковском административных округах города Москвы в 2025 году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План – график проведения вакцинации против бешенства собак и кошек на прививочных пунктах в Троицком и Новомосковском административных округах города Москвы в 2025 году. Информация находится во вложенном файле.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http://voronovo.mos.ru/info/detail/12871996.html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871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871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2025-06-09T16:17:34Z</dcterms:created>
  <dcterms:modified xsi:type="dcterms:W3CDTF">2025-06-09T16:17:34Z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