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режим-работы-кладбищ-гбу-ритуал"/>
    <w:p>
      <w:pPr>
        <w:pStyle w:val="Heading3"/>
      </w:pPr>
      <w:r>
        <w:t xml:space="preserve">Режим работы кладбищ ГБУ "Ритуал"</w:t>
      </w:r>
    </w:p>
    <w:p>
      <w:pPr>
        <w:pStyle w:val="FirstParagraph"/>
      </w:pPr>
      <w:r>
        <w:t xml:space="preserve">28.03.2025</w:t>
      </w:r>
    </w:p>
    <w:p>
      <w:pPr>
        <w:pStyle w:val="BodyText"/>
      </w:pPr>
      <w:r>
        <w:t xml:space="preserve">В дни Пасхальных мероприятий 13, 20, 27 и 29 апреля кладбища ГБУ "Ритуал" работают в режиме с 9.00 до 18.00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http://voronovo.mos.ru/info/detail/12883101.html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831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28831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2025-06-09T16:21:28Z</dcterms:created>
  <dcterms:modified xsi:type="dcterms:W3CDTF">2025-06-09T16:21:28Z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