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055efc3eacef09439021a5ef1816301d682ca"/>
    <w:p>
      <w:pPr>
        <w:pStyle w:val="Heading3"/>
      </w:pPr>
      <w:r>
        <w:t xml:space="preserve">Увеличен порог собираемости взносов на капремонт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Механизм соблюдения платежной дисциплины собственниками, формирующими фонд капремонта на спец. счете, применяется при падении собираемости взносов на капремонт ниже 60% от начисленных. </w:t>
      </w:r>
    </w:p>
    <w:p>
      <w:pPr>
        <w:pStyle w:val="BodyText"/>
      </w:pPr>
      <w:r>
        <w:t xml:space="preserve">Ранее порог составлял 50%. Орган жилищного надзора должен в течение месяца уведомить муниципальный орган о непринятии владельцем спец. счета в отведенные 5 месяцев мер по погашению задолженности по взносам на капремонт. </w:t>
      </w:r>
    </w:p>
    <w:p>
      <w:pPr>
        <w:pStyle w:val="BodyText"/>
      </w:pPr>
      <w:r>
        <w:t xml:space="preserve">На 2025-2026 гг. продлены полномочия Правительства по установлению особенностей регулирования жилищных отношений в части начисления и уплаты пени в случае неполного или несвоевременного внесения платы за жилье и коммунальные услуги, взносов на капремонт, просрочки исполнения обязательства по установке, замене или эксплуатации приборов учета и предоставления рассрочки по оплате договоров об установке приборов учета гражданами.</w:t>
      </w:r>
    </w:p>
    <w:p>
      <w:pPr>
        <w:pStyle w:val="BodyText"/>
      </w:pPr>
      <w:r>
        <w:t xml:space="preserve">Закон вступает в силу со дня официального опубликования.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http://voronovo.mos.ru/info/detail/13061736.html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1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1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2025-07-07T04:30:59Z</dcterms:created>
  <dcterms:modified xsi:type="dcterms:W3CDTF">2025-07-07T04:30:59Z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