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5e6749e778fbe9cce44448fec575a19ce1c50"/>
    <w:p>
      <w:pPr>
        <w:pStyle w:val="Heading3"/>
      </w:pPr>
      <w:r>
        <w:t xml:space="preserve">Владелец источника повышенной опасности несет ответственность независимо от наличия своей вины в причинении вреда</w:t>
      </w:r>
    </w:p>
    <w:p>
      <w:pPr>
        <w:pStyle w:val="FirstParagraph"/>
      </w:pPr>
      <w:r>
        <w:t xml:space="preserve">21.01.2025</w:t>
      </w:r>
    </w:p>
    <w:p>
      <w:pPr>
        <w:pStyle w:val="BodyText"/>
      </w:pPr>
      <w:r>
        <w:t xml:space="preserve">В соответствии со статьей 1079 Гражданского кодекса Российской Федерации (далее - ГК РФ) к источникам повышенной опасности относятся транспортные средства, механизмы, объекты электрической энергии высокого напряжения, атомной энергии, взрывчатые вещества, сильнодействующие яды. Учитывая, что указанный перечень не является исчерпывающим, источником повышенной опасности может быть признана иная деятельность, с учетом особых свойств предметов, веществ или иных объектов, используемых в процессе деятельности. </w:t>
      </w:r>
    </w:p>
    <w:p>
      <w:pPr>
        <w:pStyle w:val="BodyText"/>
      </w:pPr>
      <w:r>
        <w:t xml:space="preserve">Имущественная ответственность за вред, причиненный действием источника повышенной опасности, наступает как при целенаправленном их использовании, так и при самопроизвольном проявлении их вредоносных свойств. </w:t>
      </w:r>
    </w:p>
    <w:p>
      <w:pPr>
        <w:pStyle w:val="BodyText"/>
      </w:pPr>
      <w:r>
        <w:t xml:space="preserve">Юридические лица и граждане обязаны возместить вред, причиненный источником повышенной опасности, независимо от их вины. Исключение составляют случаи, когда ими доказано, что вред возник вследствие непреодолимой силы (чрезвычайных и непредотвратимых при данных условиях обстоятельств) или умысла потерпевшего (противоправного поведения, при котором потерпевший предвидит и желает или сознательно допускает наступление вредного результата). </w:t>
      </w:r>
    </w:p>
    <w:p>
      <w:pPr>
        <w:pStyle w:val="BodyText"/>
      </w:pPr>
      <w:r>
        <w:t xml:space="preserve">Согласно статьям 1068 и 1079 ГК РФ не признается владельцем источника повышенной опасности лицо, управляющее им в силу исполнения своих трудовых (служебных, должностных) обязанностей на основании трудового договора (служебного контракта) или гражданско-правового договора с собственником или иным владельцем источника повышенной опасности (например, машинист поезда). При этом, на указанных лиц может быть возложена ответственность за причиненный вред, если они противоправно завладели транспортным средством. Отсутствие вины владельца источника повышенной опасности при наличии грубой неосторожности потерпевшего не является основанием для освобождения владельца от ответственности, однако размер возмещения вреда может быть снижен судом.</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http://voronovo.mos.ru/info/detail/13061839.html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info/detail/130618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info/detail/130618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2025-07-07T04:32:47Z</dcterms:created>
  <dcterms:modified xsi:type="dcterms:W3CDTF">2025-07-07T04:32:47Z</dcterms:modified>
</cp:coreProperties>
</file>

<file path=docProps/custom.xml><?xml version="1.0" encoding="utf-8"?>
<Properties xmlns="http://schemas.openxmlformats.org/officeDocument/2006/custom-properties" xmlns:vt="http://schemas.openxmlformats.org/officeDocument/2006/docPropsVTypes"/>
</file>