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dbff61b93ba0c30e024db6c049a551811b3d9"/>
    <w:p>
      <w:pPr>
        <w:pStyle w:val="Heading3"/>
      </w:pPr>
      <w:r>
        <w:t xml:space="preserve">С 1 марта 2025 года вступят в силу новые требования к аптечке первой помощи для работников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Указанные требования отражены в приказе Минтруда России от 09.08.2024 № 398н. Аптечка для оказания работниками первой помощи пострадавшим с применением медицинских изделий комплектуется определёнными медицинскими изделиями, указанными в требованиях к приказу Минтруда России от 09.08.2024.</w:t>
      </w:r>
    </w:p>
    <w:p>
      <w:pPr>
        <w:pStyle w:val="BodyText"/>
      </w:pPr>
      <w:r>
        <w:t xml:space="preserve">Определили, как размещать, хранить и использовать аптечки для оказания первой помощи персоналу. Пока действуют только требования к их комплектации.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прочего закрепили положение о том, что количество аптечек, а также мест для их размещения и хранения работодатель определяет, в частности, исходя из среднесписочной численности организации. При этом, надо учесть мнение первичной профсоюзной организации или иного представительного органа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2025-07-07T04:43:03Z</dcterms:created>
  <dcterms:modified xsi:type="dcterms:W3CDTF">2025-07-07T04:43:03Z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