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1a2abf5abb625cbb8ab061fd0315c1a2290833"/>
    <w:p>
      <w:pPr>
        <w:pStyle w:val="Heading3"/>
      </w:pPr>
      <w:r>
        <w:t xml:space="preserve">С 2025 года существенно изменены правила оказания услуг телефонной связи.</w:t>
      </w:r>
    </w:p>
    <w:p>
      <w:pPr>
        <w:pStyle w:val="FirstParagraph"/>
      </w:pPr>
      <w:r>
        <w:t xml:space="preserve">13.01.2025</w:t>
      </w:r>
    </w:p>
    <w:p>
      <w:pPr>
        <w:pStyle w:val="BodyText"/>
      </w:pPr>
      <w:r>
        <w:t xml:space="preserve">В соответствии с постановлением Правительства Российской Федерации от 30.12.2024 № 1994 «Об утверждении Правил оказания услуг телефонной связи и перечня организаций, имеющих право осуществлять подтверждение сведений об абоненте - физическом лице» (далее – Правила) проверка сведений об абонентах - гражданах Российской Федерации, заключивших договоры об оказании услуг подвижной радиотелефонной связи до 1 апреля 2025 года, о пользователях - гражданах Российской Федерации абонентов - юридических лиц либо индивидуальных предпринимателей, которым абонентские номера предоставлены такими абонентами в пользование до 1 апреля 2025 года, а также о количестве номеров, выделенных таким абонентам и (или) пользователям услуг связи, осуществляется операторами связи в случае, если абоненту - гражданину Российской Федерации выделено и (или) предоставлено в пользование в совокупности более 20 абонентских номеров.</w:t>
      </w:r>
    </w:p>
    <w:p>
      <w:pPr>
        <w:pStyle w:val="BodyText"/>
      </w:pPr>
      <w:r>
        <w:t xml:space="preserve">Правила изменили процедуру оказания услуг телефонной связи иностранным гражданам и лицам без гражданства.</w:t>
      </w:r>
    </w:p>
    <w:p>
      <w:pPr>
        <w:pStyle w:val="BodyText"/>
      </w:pPr>
      <w:r>
        <w:t xml:space="preserve">Так, для названной категории лиц заключение договоров об оказании услуг подвижной радиотелефонной связи осуществляется только путем подтверждения достоверности сведений об абоненте с использованием единой системы идентификации и аутентификации и единой биометрической системы для заключения договоров об оказании услуг подвижной.</w:t>
      </w:r>
    </w:p>
    <w:p>
      <w:pPr>
        <w:pStyle w:val="BodyText"/>
      </w:pPr>
      <w:r>
        <w:t xml:space="preserve">Кроме того, пункт 127 Правил закрепляет обязанность при заключении таких договоров с иностранными гражданами дополнительно указывать сведения о виде (типе) и идентификаторе пользовательского (оконечного) оборудования, в котором будет использоваться идентификационный модуль, не более одного для каждого абонентского номера.</w:t>
      </w:r>
    </w:p>
    <w:p>
      <w:pPr>
        <w:pStyle w:val="BodyText"/>
      </w:pPr>
      <w:r>
        <w:t xml:space="preserve">В случае если у абонента - иностранного гражданина или лица без гражданства меняются сведения об идентификаторе пользовательского (оконечного) оборудования, в котором используется идентификационный модуль, на сведения, отсутствующие в договоре об оказании услуг подвижной радиотелефонной связи, оператор связи обязан приостановить оказание услуг связи в отношении абонентского номера, используемого в пользовательском (оконечном) оборудовании, сведения о котором отсутствуют в договоре об оказании услуг подвижной радиотелефонной связи.</w:t>
      </w:r>
    </w:p>
    <w:p>
      <w:pPr>
        <w:pStyle w:val="BodyText"/>
      </w:pPr>
      <w:r>
        <w:t xml:space="preserve">Внесенные изменения повышают достоверность сведений об абонентах и безопасность пользователей услугами связи от действий злоумышленников.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http://voronovo.mos.ru/info/detail/13062260.html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30622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30622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2025-07-07T04:31:29Z</dcterms:created>
  <dcterms:modified xsi:type="dcterms:W3CDTF">2025-07-07T04:31:29Z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