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4503ba6f332b73d287e8139c24e61b4e8f83d"/>
    <w:p>
      <w:pPr>
        <w:pStyle w:val="Heading3"/>
      </w:pPr>
      <w:r>
        <w:t xml:space="preserve">Увеличение размера государственных пошлин</w:t>
      </w:r>
    </w:p>
    <w:p>
      <w:pPr>
        <w:pStyle w:val="FirstParagraph"/>
      </w:pPr>
      <w:r>
        <w:t xml:space="preserve">27.12.2024</w:t>
      </w:r>
    </w:p>
    <w:p>
      <w:pPr>
        <w:pStyle w:val="BodyText"/>
      </w:pPr>
      <w:r>
        <w:t xml:space="preserve">Федеральным законом от 12.07.2024 № 176-ФЗ 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 предусмотрено увеличение размера ряда государственных пошлин.</w:t>
      </w:r>
    </w:p>
    <w:p>
      <w:pPr>
        <w:pStyle w:val="BodyText"/>
      </w:pPr>
      <w:r>
        <w:t xml:space="preserve">В частности, с 01.01.2025 изменены госпошлины за развод, смену имени и регистрацию права собственности на недвижимость.</w:t>
      </w:r>
    </w:p>
    <w:p>
      <w:pPr>
        <w:pStyle w:val="BodyText"/>
      </w:pPr>
      <w:r>
        <w:t xml:space="preserve">Плата за расторжение брака с каждого супруга увеличена с 650 до 5 000 рублей. Сумма не изменится и составит 350 рублей, если брак расторгается по желанию одного из супругов, а другой признан безвестно отсутствующим, недееспособным или приговорен к лишению свободы на срок более трех лет.</w:t>
      </w:r>
    </w:p>
    <w:p>
      <w:pPr>
        <w:pStyle w:val="BodyText"/>
      </w:pPr>
      <w:r>
        <w:t xml:space="preserve">За регистрацию перемены имени, отчества или фамилии пошлина увеличится с 1 600 до 5 000 рублей.</w:t>
      </w:r>
    </w:p>
    <w:p>
      <w:pPr>
        <w:pStyle w:val="BodyText"/>
      </w:pPr>
      <w:r>
        <w:t xml:space="preserve">За регистрацию права собственности гражданина на земельный участок необходимо заплатить 700 рублей, вместо 350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http://voronovo.mos.ru/info/detail/13062328.html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623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623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2025-07-07T04:29:20Z</dcterms:created>
  <dcterms:modified xsi:type="dcterms:W3CDTF">2025-07-07T04:29:20Z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