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07be11f68431a717567118a8319e1b856ab49"/>
    <w:p>
      <w:pPr>
        <w:pStyle w:val="Heading3"/>
      </w:pPr>
      <w:r>
        <w:t xml:space="preserve">Обучающие семинары для представителей строительных и проектных организаций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Департаментом градостроительной политики города Москвы подготовлен график проведения обучающих семинаров для представителей строительных</w:t>
      </w:r>
    </w:p>
    <w:p>
      <w:pPr>
        <w:pStyle w:val="BodyText"/>
      </w:pPr>
      <w:r>
        <w:t xml:space="preserve">и проектных организаций по предоставлению в электронном виде государственных услуг в сфере строительства на бесплатной основе в III квартале 2025 года.</w:t>
      </w:r>
    </w:p>
    <w:p>
      <w:pPr>
        <w:pStyle w:val="BodyText"/>
      </w:pPr>
      <w:r>
        <w:t xml:space="preserve">График находится во вложенном файле.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http://voronovo.mos.ru/info/detail/13070730.html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70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70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2025-07-07T05:20:00Z</dcterms:created>
  <dcterms:modified xsi:type="dcterms:W3CDTF">2025-07-07T05:20:00Z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